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583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72"/>
        <w:gridCol w:w="1771"/>
        <w:gridCol w:w="1370"/>
        <w:gridCol w:w="3254"/>
        <w:gridCol w:w="1205"/>
        <w:gridCol w:w="1432"/>
        <w:gridCol w:w="1241"/>
        <w:gridCol w:w="48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5" w:hRule="atLeast"/>
        </w:trPr>
        <w:tc>
          <w:tcPr>
            <w:tcW w:w="672" w:type="dxa"/>
            <w:shd w:val="clear" w:color="auto" w:fill="auto"/>
            <w:vAlign w:val="center"/>
          </w:tcPr>
          <w:p>
            <w:pPr>
              <w:keepNext w:val="0"/>
              <w:keepLines w:val="0"/>
              <w:widowControl/>
              <w:suppressLineNumbers w:val="0"/>
              <w:jc w:val="left"/>
              <w:textAlignment w:val="center"/>
              <w:rPr>
                <w:rFonts w:ascii="黑体" w:hAnsi="宋体" w:eastAsia="黑体" w:cs="黑体"/>
                <w:i w:val="0"/>
                <w:color w:val="000000"/>
                <w:sz w:val="32"/>
                <w:szCs w:val="32"/>
                <w:u w:val="none"/>
              </w:rPr>
            </w:pPr>
            <w:r>
              <w:rPr>
                <w:rFonts w:hint="eastAsia" w:ascii="黑体" w:hAnsi="宋体" w:eastAsia="黑体" w:cs="黑体"/>
                <w:i w:val="0"/>
                <w:color w:val="000000"/>
                <w:kern w:val="0"/>
                <w:sz w:val="32"/>
                <w:szCs w:val="32"/>
                <w:u w:val="none"/>
                <w:lang w:val="en-US" w:eastAsia="zh-CN" w:bidi="ar"/>
              </w:rPr>
              <w:t>附：</w:t>
            </w:r>
          </w:p>
        </w:tc>
        <w:tc>
          <w:tcPr>
            <w:tcW w:w="1771" w:type="dxa"/>
            <w:shd w:val="clear" w:color="auto" w:fill="auto"/>
            <w:vAlign w:val="center"/>
          </w:tcPr>
          <w:p>
            <w:pPr>
              <w:rPr>
                <w:rFonts w:hint="eastAsia" w:ascii="宋体" w:hAnsi="宋体" w:eastAsia="宋体" w:cs="宋体"/>
                <w:i w:val="0"/>
                <w:color w:val="000000"/>
                <w:sz w:val="22"/>
                <w:szCs w:val="22"/>
                <w:u w:val="none"/>
              </w:rPr>
            </w:pPr>
          </w:p>
        </w:tc>
        <w:tc>
          <w:tcPr>
            <w:tcW w:w="1370" w:type="dxa"/>
            <w:shd w:val="clear" w:color="auto" w:fill="auto"/>
            <w:vAlign w:val="center"/>
          </w:tcPr>
          <w:p>
            <w:pPr>
              <w:rPr>
                <w:rFonts w:hint="eastAsia" w:ascii="宋体" w:hAnsi="宋体" w:eastAsia="宋体" w:cs="宋体"/>
                <w:i w:val="0"/>
                <w:color w:val="000000"/>
                <w:sz w:val="22"/>
                <w:szCs w:val="22"/>
                <w:u w:val="none"/>
              </w:rPr>
            </w:pPr>
          </w:p>
        </w:tc>
        <w:tc>
          <w:tcPr>
            <w:tcW w:w="3254" w:type="dxa"/>
            <w:shd w:val="clear" w:color="auto" w:fill="auto"/>
            <w:vAlign w:val="center"/>
          </w:tcPr>
          <w:p>
            <w:pPr>
              <w:rPr>
                <w:rFonts w:hint="eastAsia" w:ascii="宋体" w:hAnsi="宋体" w:eastAsia="宋体" w:cs="宋体"/>
                <w:i w:val="0"/>
                <w:color w:val="000000"/>
                <w:sz w:val="22"/>
                <w:szCs w:val="22"/>
                <w:u w:val="none"/>
              </w:rPr>
            </w:pPr>
          </w:p>
        </w:tc>
        <w:tc>
          <w:tcPr>
            <w:tcW w:w="1205" w:type="dxa"/>
            <w:shd w:val="clear" w:color="auto" w:fill="auto"/>
            <w:vAlign w:val="center"/>
          </w:tcPr>
          <w:p>
            <w:pPr>
              <w:rPr>
                <w:rFonts w:hint="eastAsia" w:ascii="宋体" w:hAnsi="宋体" w:eastAsia="宋体" w:cs="宋体"/>
                <w:i w:val="0"/>
                <w:color w:val="000000"/>
                <w:sz w:val="22"/>
                <w:szCs w:val="22"/>
                <w:u w:val="none"/>
              </w:rPr>
            </w:pPr>
          </w:p>
        </w:tc>
        <w:tc>
          <w:tcPr>
            <w:tcW w:w="1432" w:type="dxa"/>
            <w:shd w:val="clear" w:color="auto" w:fill="auto"/>
            <w:vAlign w:val="center"/>
          </w:tcPr>
          <w:p>
            <w:pPr>
              <w:rPr>
                <w:rFonts w:hint="eastAsia" w:ascii="宋体" w:hAnsi="宋体" w:eastAsia="宋体" w:cs="宋体"/>
                <w:i w:val="0"/>
                <w:color w:val="000000"/>
                <w:sz w:val="22"/>
                <w:szCs w:val="22"/>
                <w:u w:val="none"/>
              </w:rPr>
            </w:pPr>
          </w:p>
        </w:tc>
        <w:tc>
          <w:tcPr>
            <w:tcW w:w="1241" w:type="dxa"/>
            <w:shd w:val="clear" w:color="auto" w:fill="auto"/>
            <w:vAlign w:val="center"/>
          </w:tcPr>
          <w:p>
            <w:pPr>
              <w:rPr>
                <w:rFonts w:hint="eastAsia" w:ascii="宋体" w:hAnsi="宋体" w:eastAsia="宋体" w:cs="宋体"/>
                <w:i w:val="0"/>
                <w:color w:val="000000"/>
                <w:sz w:val="22"/>
                <w:szCs w:val="22"/>
                <w:u w:val="none"/>
              </w:rPr>
            </w:pPr>
          </w:p>
        </w:tc>
        <w:tc>
          <w:tcPr>
            <w:tcW w:w="4886" w:type="dxa"/>
            <w:shd w:val="clear" w:color="auto" w:fill="auto"/>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6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24"/>
                <w:szCs w:val="24"/>
                <w:u w:val="none"/>
              </w:rPr>
            </w:pPr>
            <w:r>
              <w:rPr>
                <w:rFonts w:hint="eastAsia" w:ascii="黑体" w:hAnsi="宋体" w:eastAsia="黑体" w:cs="黑体"/>
                <w:b/>
                <w:i w:val="0"/>
                <w:color w:val="000000"/>
                <w:kern w:val="0"/>
                <w:sz w:val="24"/>
                <w:szCs w:val="24"/>
                <w:u w:val="none"/>
                <w:lang w:val="en-US" w:eastAsia="zh-CN" w:bidi="ar"/>
              </w:rPr>
              <w:t>序号</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24"/>
                <w:szCs w:val="24"/>
                <w:u w:val="none"/>
              </w:rPr>
            </w:pPr>
            <w:r>
              <w:rPr>
                <w:rFonts w:hint="eastAsia" w:ascii="黑体" w:hAnsi="宋体" w:eastAsia="黑体" w:cs="黑体"/>
                <w:b/>
                <w:i w:val="0"/>
                <w:color w:val="000000"/>
                <w:kern w:val="0"/>
                <w:sz w:val="24"/>
                <w:szCs w:val="24"/>
                <w:u w:val="none"/>
                <w:lang w:val="en-US" w:eastAsia="zh-CN" w:bidi="ar"/>
              </w:rPr>
              <w:t>事项名称</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24"/>
                <w:szCs w:val="24"/>
                <w:u w:val="none"/>
              </w:rPr>
            </w:pPr>
            <w:r>
              <w:rPr>
                <w:rFonts w:hint="eastAsia" w:ascii="黑体" w:hAnsi="宋体" w:eastAsia="黑体" w:cs="黑体"/>
                <w:b/>
                <w:i w:val="0"/>
                <w:color w:val="000000"/>
                <w:kern w:val="0"/>
                <w:sz w:val="24"/>
                <w:szCs w:val="24"/>
                <w:u w:val="none"/>
                <w:lang w:val="en-US" w:eastAsia="zh-CN" w:bidi="ar"/>
              </w:rPr>
              <w:t>主要内容</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24"/>
                <w:szCs w:val="24"/>
                <w:u w:val="none"/>
              </w:rPr>
            </w:pPr>
            <w:r>
              <w:rPr>
                <w:rFonts w:hint="eastAsia" w:ascii="黑体" w:hAnsi="宋体" w:eastAsia="黑体" w:cs="黑体"/>
                <w:b/>
                <w:i w:val="0"/>
                <w:color w:val="000000"/>
                <w:kern w:val="0"/>
                <w:sz w:val="24"/>
                <w:szCs w:val="24"/>
                <w:u w:val="none"/>
                <w:lang w:val="en-US" w:eastAsia="zh-CN" w:bidi="ar"/>
              </w:rPr>
              <w:t>牵头领导</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24"/>
                <w:szCs w:val="24"/>
                <w:u w:val="none"/>
              </w:rPr>
            </w:pPr>
            <w:r>
              <w:rPr>
                <w:rFonts w:hint="eastAsia" w:ascii="黑体" w:hAnsi="宋体" w:eastAsia="黑体" w:cs="黑体"/>
                <w:b/>
                <w:i w:val="0"/>
                <w:color w:val="000000"/>
                <w:kern w:val="0"/>
                <w:sz w:val="24"/>
                <w:szCs w:val="24"/>
                <w:u w:val="none"/>
                <w:lang w:val="en-US" w:eastAsia="zh-CN" w:bidi="ar"/>
              </w:rPr>
              <w:t>责任部门</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24"/>
                <w:szCs w:val="24"/>
                <w:u w:val="none"/>
              </w:rPr>
            </w:pPr>
            <w:r>
              <w:rPr>
                <w:rFonts w:hint="eastAsia" w:ascii="黑体" w:hAnsi="宋体" w:eastAsia="黑体" w:cs="黑体"/>
                <w:b/>
                <w:i w:val="0"/>
                <w:color w:val="000000"/>
                <w:kern w:val="0"/>
                <w:sz w:val="24"/>
                <w:szCs w:val="24"/>
                <w:u w:val="none"/>
                <w:lang w:val="en-US" w:eastAsia="zh-CN" w:bidi="ar"/>
              </w:rPr>
              <w:t>责任人</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24"/>
                <w:szCs w:val="24"/>
                <w:u w:val="none"/>
              </w:rPr>
            </w:pPr>
            <w:r>
              <w:rPr>
                <w:rFonts w:hint="eastAsia" w:ascii="黑体" w:hAnsi="宋体" w:eastAsia="黑体" w:cs="黑体"/>
                <w:b/>
                <w:i w:val="0"/>
                <w:color w:val="000000"/>
                <w:kern w:val="0"/>
                <w:sz w:val="24"/>
                <w:szCs w:val="24"/>
                <w:u w:val="none"/>
                <w:lang w:val="en-US" w:eastAsia="zh-CN" w:bidi="ar"/>
              </w:rPr>
              <w:t>当前进展情况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1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1</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盐丰高速连接线(至通港大道）</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加快盐丰高速大丰港经济开发区出口至通港大道段建设，提高运输能力，完善交通网络</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石根美</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交通局</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徐文新</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已建成通车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2</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大丰港汽车客运站</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在港华路西侧建设占地约100亩、建筑面积约3.5万平方米的汽车客运站，进一步完善港城功能配套</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石根美</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交通局</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徐文新</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已完成可研，待原有施工图变更设计完成后，上报省厅运管局审查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65"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3</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盐丰产业园中心路南延工程</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在临港大道南段建设长1400米、宽30米、约2000万的道路</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石根美</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交通局</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徐文新</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正在进行路基土方施工，预计10月底竣工通车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35"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4</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盐丰高速大丰港出口东延</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积极争取省交通厅立项和资金，负责建设盐丰高速大丰港出口向东至宁波港路、广州港路的连接线，进一步完善大丰港集疏运体系</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石根美</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交通局</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徐文新</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正在积极向省厅争取，因省已经支持了港城高速至通港大道连接线工程，目前争取难度较大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95"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5</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日月湖大道北延段工程</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日月湖北大道长约3500米，宽44米，及分界河处桥梁，总投资7500万元</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石根美</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住建局</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顾国华</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已全面进场施工，工程东段1800米农田需请港区尽快协调，预计年底前竣工通车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05"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6</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中港大道背景林工程、中港大道道路照明工程、青岛港路绿化提升工程</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实施中港大道（港区管委会办公楼以西）-青岛港路-通港大道段的路灯、绿化提升工程建设，亮化美化港城景观</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石根美</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城管局</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石永明</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中港大道背景林工程正在扫尾，其余全部完成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7</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上海港路绿化工程</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盐丰高速出口至中港大道道路绿化、包括道路中分带、侧分带、行道路，约2.5万平方米</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石根美</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城管局</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石永明</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已经完成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8</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车管所</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在港城选址建设车管所，便民服务、集聚人气</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沈  阳</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公安局</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张  辉</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正在开展项目建设效果可行性论证，待领导会办研究决定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55"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9</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城乡供水一体化</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实施原王港乡村居城乡供水一体化工程</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韦  国</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水利局</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季明珍</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已经全部入户通水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6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10</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防洪设施</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在港城经济区防洪基础设施方面予以支持</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韦  国</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水利局</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季明珍</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今年港区计划新建排涝站7座，扩建3座，疏浚河道7条27.43公里，新开挖河道2条2.7公里，建设防洪圩3.1公里，防洪墙3.1公里，总投资4478万元。目前，工程已完成40%，待工程完工验收后，根据相关政策规定进行奖补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45" w:hRule="atLeast"/>
        </w:trPr>
        <w:tc>
          <w:tcPr>
            <w:tcW w:w="6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7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电力配网工程</w:t>
            </w:r>
          </w:p>
        </w:tc>
        <w:tc>
          <w:tcPr>
            <w:tcW w:w="13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龙川变</w:t>
            </w:r>
            <w:r>
              <w:rPr>
                <w:rFonts w:hint="eastAsia" w:ascii="方正仿宋简体" w:hAnsi="方正仿宋简体" w:eastAsia="方正仿宋简体" w:cs="方正仿宋简体"/>
                <w:i w:val="0"/>
                <w:color w:val="000000"/>
                <w:kern w:val="0"/>
                <w:sz w:val="20"/>
                <w:szCs w:val="20"/>
                <w:u w:val="none"/>
                <w:lang w:val="en-US" w:eastAsia="zh-CN" w:bidi="ar"/>
              </w:rPr>
              <w:br w:type="textWrapping"/>
            </w:r>
            <w:r>
              <w:rPr>
                <w:rFonts w:hint="eastAsia" w:ascii="方正仿宋简体" w:hAnsi="方正仿宋简体" w:eastAsia="方正仿宋简体" w:cs="方正仿宋简体"/>
                <w:i w:val="0"/>
                <w:color w:val="000000"/>
                <w:kern w:val="0"/>
                <w:sz w:val="20"/>
                <w:szCs w:val="20"/>
                <w:u w:val="none"/>
                <w:lang w:val="en-US" w:eastAsia="zh-CN" w:bidi="ar"/>
              </w:rPr>
              <w:t>（丹桂变）</w:t>
            </w:r>
          </w:p>
        </w:tc>
        <w:tc>
          <w:tcPr>
            <w:tcW w:w="3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向东往一期码头配网</w:t>
            </w:r>
          </w:p>
        </w:tc>
        <w:tc>
          <w:tcPr>
            <w:tcW w:w="12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董  毅</w:t>
            </w:r>
          </w:p>
        </w:tc>
        <w:tc>
          <w:tcPr>
            <w:tcW w:w="14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供电公司</w:t>
            </w:r>
          </w:p>
        </w:tc>
        <w:tc>
          <w:tcPr>
            <w:tcW w:w="12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金  海</w:t>
            </w:r>
          </w:p>
        </w:tc>
        <w:tc>
          <w:tcPr>
            <w:tcW w:w="48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配网线路4月份已完成施工，目前正在与港区协调确定具体改接时间，预计5月份完成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13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3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向西南往食品加工区、木材园北区的配网</w:t>
            </w: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12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4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方正仿宋简体" w:hAnsi="方正仿宋简体" w:eastAsia="方正仿宋简体" w:cs="方正仿宋简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13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3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向北往盐丰工业园的配网</w:t>
            </w: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12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4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方正仿宋简体" w:hAnsi="方正仿宋简体" w:eastAsia="方正仿宋简体" w:cs="方正仿宋简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锦城变</w:t>
            </w:r>
          </w:p>
        </w:tc>
        <w:tc>
          <w:tcPr>
            <w:tcW w:w="3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向西南往汽车2.5产业园的配网</w:t>
            </w: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12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正在开展项目现场勘查及可行性分析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围海变</w:t>
            </w:r>
          </w:p>
        </w:tc>
        <w:tc>
          <w:tcPr>
            <w:tcW w:w="3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向东往石化园南拓区（海王围垦）的配网</w:t>
            </w: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12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该区域目前还是鱼塘，规划中的道路暂未开工，待道路开工后，同步施工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35"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扬帆变</w:t>
            </w:r>
          </w:p>
        </w:tc>
        <w:tc>
          <w:tcPr>
            <w:tcW w:w="3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往沪苏园区配网</w:t>
            </w: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12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已编制2个四回路配电线路建设方案，正在向上争取投资，市公司运检部初步意见是分别在扬帆配套和2018配网工程中解决，但土建管道费用还需园区支持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65"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王港变</w:t>
            </w:r>
            <w:r>
              <w:rPr>
                <w:rFonts w:hint="eastAsia" w:ascii="方正仿宋简体" w:hAnsi="方正仿宋简体" w:eastAsia="方正仿宋简体" w:cs="方正仿宋简体"/>
                <w:i w:val="0"/>
                <w:color w:val="000000"/>
                <w:kern w:val="0"/>
                <w:sz w:val="20"/>
                <w:szCs w:val="20"/>
                <w:u w:val="none"/>
                <w:lang w:val="en-US" w:eastAsia="zh-CN" w:bidi="ar"/>
              </w:rPr>
              <w:br w:type="textWrapping"/>
            </w:r>
            <w:r>
              <w:rPr>
                <w:rFonts w:hint="eastAsia" w:ascii="方正仿宋简体" w:hAnsi="方正仿宋简体" w:eastAsia="方正仿宋简体" w:cs="方正仿宋简体"/>
                <w:i w:val="0"/>
                <w:color w:val="000000"/>
                <w:kern w:val="0"/>
                <w:sz w:val="20"/>
                <w:szCs w:val="20"/>
                <w:u w:val="none"/>
                <w:lang w:val="en-US" w:eastAsia="zh-CN" w:bidi="ar"/>
              </w:rPr>
              <w:t>围海变</w:t>
            </w:r>
          </w:p>
        </w:tc>
        <w:tc>
          <w:tcPr>
            <w:tcW w:w="3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往苏盐园区配网</w:t>
            </w: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12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已确定由围海变西侧向北建设四回路线，目前已完成工程设计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3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12</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苏盐园区申报省级开发区</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支持、协助苏盐园区申报省级开发区，并争取获批</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赵玉霞</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商务局</w:t>
            </w:r>
            <w:r>
              <w:rPr>
                <w:rFonts w:hint="eastAsia" w:ascii="方正仿宋简体" w:hAnsi="方正仿宋简体" w:eastAsia="方正仿宋简体" w:cs="方正仿宋简体"/>
                <w:i w:val="0"/>
                <w:color w:val="000000"/>
                <w:kern w:val="0"/>
                <w:sz w:val="20"/>
                <w:szCs w:val="20"/>
                <w:u w:val="none"/>
                <w:lang w:val="en-US" w:eastAsia="zh-CN" w:bidi="ar"/>
              </w:rPr>
              <w:br w:type="textWrapping"/>
            </w:r>
            <w:r>
              <w:rPr>
                <w:rFonts w:hint="eastAsia" w:ascii="方正仿宋简体" w:hAnsi="方正仿宋简体" w:eastAsia="方正仿宋简体" w:cs="方正仿宋简体"/>
                <w:i w:val="0"/>
                <w:color w:val="000000"/>
                <w:kern w:val="0"/>
                <w:sz w:val="20"/>
                <w:szCs w:val="20"/>
                <w:u w:val="none"/>
                <w:lang w:val="en-US" w:eastAsia="zh-CN" w:bidi="ar"/>
              </w:rPr>
              <w:t>住建局</w:t>
            </w:r>
            <w:r>
              <w:rPr>
                <w:rFonts w:hint="eastAsia" w:ascii="方正仿宋简体" w:hAnsi="方正仿宋简体" w:eastAsia="方正仿宋简体" w:cs="方正仿宋简体"/>
                <w:i w:val="0"/>
                <w:color w:val="000000"/>
                <w:kern w:val="0"/>
                <w:sz w:val="20"/>
                <w:szCs w:val="20"/>
                <w:u w:val="none"/>
                <w:lang w:val="en-US" w:eastAsia="zh-CN" w:bidi="ar"/>
              </w:rPr>
              <w:br w:type="textWrapping"/>
            </w:r>
            <w:r>
              <w:rPr>
                <w:rFonts w:hint="eastAsia" w:ascii="方正仿宋简体" w:hAnsi="方正仿宋简体" w:eastAsia="方正仿宋简体" w:cs="方正仿宋简体"/>
                <w:i w:val="0"/>
                <w:color w:val="000000"/>
                <w:kern w:val="0"/>
                <w:sz w:val="20"/>
                <w:szCs w:val="20"/>
                <w:u w:val="none"/>
                <w:lang w:val="en-US" w:eastAsia="zh-CN" w:bidi="ar"/>
              </w:rPr>
              <w:t>国土局</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陈良忠</w:t>
            </w:r>
            <w:r>
              <w:rPr>
                <w:rFonts w:hint="eastAsia" w:ascii="方正仿宋简体" w:hAnsi="方正仿宋简体" w:eastAsia="方正仿宋简体" w:cs="方正仿宋简体"/>
                <w:i w:val="0"/>
                <w:color w:val="000000"/>
                <w:kern w:val="0"/>
                <w:sz w:val="20"/>
                <w:szCs w:val="20"/>
                <w:u w:val="none"/>
                <w:lang w:val="en-US" w:eastAsia="zh-CN" w:bidi="ar"/>
              </w:rPr>
              <w:br w:type="textWrapping"/>
            </w:r>
            <w:r>
              <w:rPr>
                <w:rFonts w:hint="eastAsia" w:ascii="方正仿宋简体" w:hAnsi="方正仿宋简体" w:eastAsia="方正仿宋简体" w:cs="方正仿宋简体"/>
                <w:i w:val="0"/>
                <w:color w:val="000000"/>
                <w:kern w:val="0"/>
                <w:sz w:val="20"/>
                <w:szCs w:val="20"/>
                <w:u w:val="none"/>
                <w:lang w:val="en-US" w:eastAsia="zh-CN" w:bidi="ar"/>
              </w:rPr>
              <w:t>顾国华</w:t>
            </w:r>
            <w:r>
              <w:rPr>
                <w:rFonts w:hint="eastAsia" w:ascii="方正仿宋简体" w:hAnsi="方正仿宋简体" w:eastAsia="方正仿宋简体" w:cs="方正仿宋简体"/>
                <w:i w:val="0"/>
                <w:color w:val="000000"/>
                <w:kern w:val="0"/>
                <w:sz w:val="20"/>
                <w:szCs w:val="20"/>
                <w:u w:val="none"/>
                <w:lang w:val="en-US" w:eastAsia="zh-CN" w:bidi="ar"/>
              </w:rPr>
              <w:br w:type="textWrapping"/>
            </w:r>
            <w:r>
              <w:rPr>
                <w:rFonts w:hint="eastAsia" w:ascii="方正仿宋简体" w:hAnsi="方正仿宋简体" w:eastAsia="方正仿宋简体" w:cs="方正仿宋简体"/>
                <w:i w:val="0"/>
                <w:color w:val="000000"/>
                <w:kern w:val="0"/>
                <w:sz w:val="20"/>
                <w:szCs w:val="20"/>
                <w:u w:val="none"/>
                <w:lang w:val="en-US" w:eastAsia="zh-CN" w:bidi="ar"/>
              </w:rPr>
              <w:t>商明星</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省市两级商务部门表示全力支持申请，根据国办关于促进开发区改革和创新发展的若干意见规定：原则上每一县（市、区）的开发区不超过1家，省厅表示有难度。目前启动区3平方公里土地规划已调整到位，相关材料已上报省政府，正在进一步跟踪对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6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13</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供热中心</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负责港城经济区公共供热点申报，支持重特大项目落户和港城经济区公共供热需求</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郭  超</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发改委</w:t>
            </w:r>
            <w:r>
              <w:rPr>
                <w:rFonts w:hint="eastAsia" w:ascii="方正仿宋简体" w:hAnsi="方正仿宋简体" w:eastAsia="方正仿宋简体" w:cs="方正仿宋简体"/>
                <w:i w:val="0"/>
                <w:color w:val="000000"/>
                <w:kern w:val="0"/>
                <w:sz w:val="20"/>
                <w:szCs w:val="20"/>
                <w:u w:val="none"/>
                <w:lang w:val="en-US" w:eastAsia="zh-CN" w:bidi="ar"/>
              </w:rPr>
              <w:br w:type="textWrapping"/>
            </w:r>
            <w:r>
              <w:rPr>
                <w:rFonts w:hint="eastAsia" w:ascii="方正仿宋简体" w:hAnsi="方正仿宋简体" w:eastAsia="方正仿宋简体" w:cs="方正仿宋简体"/>
                <w:i w:val="0"/>
                <w:color w:val="000000"/>
                <w:kern w:val="0"/>
                <w:sz w:val="20"/>
                <w:szCs w:val="20"/>
                <w:u w:val="none"/>
                <w:lang w:val="en-US" w:eastAsia="zh-CN" w:bidi="ar"/>
              </w:rPr>
              <w:t>（牵头）</w:t>
            </w:r>
            <w:r>
              <w:rPr>
                <w:rFonts w:hint="eastAsia" w:ascii="方正仿宋简体" w:hAnsi="方正仿宋简体" w:eastAsia="方正仿宋简体" w:cs="方正仿宋简体"/>
                <w:i w:val="0"/>
                <w:color w:val="000000"/>
                <w:kern w:val="0"/>
                <w:sz w:val="20"/>
                <w:szCs w:val="20"/>
                <w:u w:val="none"/>
                <w:lang w:val="en-US" w:eastAsia="zh-CN" w:bidi="ar"/>
              </w:rPr>
              <w:br w:type="textWrapping"/>
            </w:r>
            <w:r>
              <w:rPr>
                <w:rFonts w:hint="eastAsia" w:ascii="方正仿宋简体" w:hAnsi="方正仿宋简体" w:eastAsia="方正仿宋简体" w:cs="方正仿宋简体"/>
                <w:i w:val="0"/>
                <w:color w:val="000000"/>
                <w:kern w:val="0"/>
                <w:sz w:val="20"/>
                <w:szCs w:val="20"/>
                <w:u w:val="none"/>
                <w:lang w:val="en-US" w:eastAsia="zh-CN" w:bidi="ar"/>
              </w:rPr>
              <w:t>环保局</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陆  斌</w:t>
            </w:r>
            <w:r>
              <w:rPr>
                <w:rFonts w:hint="eastAsia" w:ascii="方正仿宋简体" w:hAnsi="方正仿宋简体" w:eastAsia="方正仿宋简体" w:cs="方正仿宋简体"/>
                <w:i w:val="0"/>
                <w:color w:val="000000"/>
                <w:kern w:val="0"/>
                <w:sz w:val="20"/>
                <w:szCs w:val="20"/>
                <w:u w:val="none"/>
                <w:lang w:val="en-US" w:eastAsia="zh-CN" w:bidi="ar"/>
              </w:rPr>
              <w:br w:type="textWrapping"/>
            </w:r>
            <w:r>
              <w:rPr>
                <w:rFonts w:hint="eastAsia" w:ascii="方正仿宋简体" w:hAnsi="方正仿宋简体" w:eastAsia="方正仿宋简体" w:cs="方正仿宋简体"/>
                <w:i w:val="0"/>
                <w:color w:val="000000"/>
                <w:kern w:val="0"/>
                <w:sz w:val="20"/>
                <w:szCs w:val="20"/>
                <w:u w:val="none"/>
                <w:lang w:val="en-US" w:eastAsia="zh-CN" w:bidi="ar"/>
              </w:rPr>
              <w:t>夏恒林</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按省能源局要求，要处理好博汇丰源热电一期项目存在的问题，区领导多次赴省发改委对接，区政府已出具承诺函，目前博汇正在加紧实施电力接入，争取上半年完成接电，待整改承诺到位后，进行划划修编和评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95" w:hRule="atLeast"/>
        </w:trPr>
        <w:tc>
          <w:tcPr>
            <w:tcW w:w="6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14</w:t>
            </w:r>
          </w:p>
        </w:tc>
        <w:tc>
          <w:tcPr>
            <w:tcW w:w="17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小型通用机场</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负责小型通用机场所有前期手续</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石根美</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交通局</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徐文新</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空军司令部会议已研究通过，已报送至中央军委联合参谋部，正在加紧对接，预计6月份将获得军方批文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05"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1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积极向上争取资金，用于通用机场及周边路桥、水、电、管网等配套建设</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石根美</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交通局</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徐文新</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待机场建设期间同步开展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40" w:hRule="atLeast"/>
        </w:trPr>
        <w:tc>
          <w:tcPr>
            <w:tcW w:w="6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15</w:t>
            </w:r>
          </w:p>
        </w:tc>
        <w:tc>
          <w:tcPr>
            <w:tcW w:w="17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大丰港达标尾水离岸排放工程</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负责争取列入国家专项建设基金，努力进入国家PPP项目库，加快项目建设</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郭  超</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发改委</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陆  斌</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国家专项建设基金：目前该项目尚未取得海域环评和海域使用证，待完成审批手续后，积极向上申报国家专项建设基金</w:t>
            </w:r>
            <w:r>
              <w:rPr>
                <w:rFonts w:hint="eastAsia" w:ascii="方正仿宋简体" w:hAnsi="方正仿宋简体" w:eastAsia="方正仿宋简体" w:cs="方正仿宋简体"/>
                <w:i w:val="0"/>
                <w:color w:val="000000"/>
                <w:kern w:val="0"/>
                <w:sz w:val="20"/>
                <w:szCs w:val="20"/>
                <w:u w:val="none"/>
                <w:lang w:val="en-US" w:eastAsia="zh-CN" w:bidi="ar"/>
              </w:rPr>
              <w:br w:type="textWrapping"/>
            </w:r>
            <w:r>
              <w:rPr>
                <w:rFonts w:hint="eastAsia" w:ascii="方正仿宋简体" w:hAnsi="方正仿宋简体" w:eastAsia="方正仿宋简体" w:cs="方正仿宋简体"/>
                <w:i w:val="0"/>
                <w:color w:val="000000"/>
                <w:kern w:val="0"/>
                <w:sz w:val="20"/>
                <w:szCs w:val="20"/>
                <w:u w:val="none"/>
                <w:lang w:val="en-US" w:eastAsia="zh-CN" w:bidi="ar"/>
              </w:rPr>
              <w:t xml:space="preserve">    国家PPP项目：已上报盐城，等国家、省项目库完善后，盐城将及时上报，同时积极争取将前期费用纳入中央预算内投资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60"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1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负责大丰港达标尾水离岸排放工程排污口位置行政许可手续</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董  毅</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环保局</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夏恒林</w:t>
            </w:r>
          </w:p>
        </w:tc>
        <w:tc>
          <w:tcPr>
            <w:tcW w:w="48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前期由于入海排污口设置由省海洋局还是盐城环保局审批问题的影响，项目推进受阻。后经区领导赴全国人大法工委咨询并取得明确答复，该工程应由盐城环保局审批，目前，正在积极对接之中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1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负责大丰港达标尾水离岸排放工程海洋环评、海域使用审批手续</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韦  国</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滩涂海洋与渔业局</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朱晓扣</w:t>
            </w:r>
          </w:p>
        </w:tc>
        <w:tc>
          <w:tcPr>
            <w:tcW w:w="4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方正仿宋简体" w:hAnsi="方正仿宋简体" w:eastAsia="方正仿宋简体" w:cs="方正仿宋简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95"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16</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大丰港海堤防护改造工程(海岸带整治)</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区海洋局和财政局协调海域使用金返还，用于海堤防护和绿化工程项目建设</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韦  国</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滩涂海洋与渔业局　　　　　　财政局</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朱晓扣　　　卞松岭</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项目总投资726万元，已开工建设，预计5月底竣工，待竣工验收和审计后，及时下达项目资金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935"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17</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大丰临港工业区建设用海规划</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负责海王I号用海手续的报批</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韦  国</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滩涂海洋与渔业局</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朱晓扣</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材料已上报至国家海洋局，1月份按国家局要求报送了省局初审意见和区政府承诺材料，3月份国家局认为该规划在生态环境方面还需深化和完善，现正按要求完善生态建设方案、补充环境可行性分析报告。同时国家局还指出，上一期建设用海效率不高，也会给审批带来影响。下一步，将进一步沟通汇报，争取国家局支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2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18</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港区防洪体系</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编制港区水利规划，争取相关资金，完善港区水利防洪体系</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韦  国</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水利局</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季明珍</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相关规划已编制，下一步，将继续配合港区做好每年度 建设方案编制工作，在施工技术、奖补资金等方面给予倾斜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75"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19</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大丰港支线铁路</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负责大丰港支线铁路的立项和资金争取</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石根美</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交通局</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徐文新</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该项目已列入铁总2017年建设计划，预可研已通过评审，下一步，加大向上对接争取力度，推动项目早日开工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6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20</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疏港货运通道（南翔大道东延）</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负责省交通厅立项和资金争取，建设大丰港区二期码头向西接城市东环（五一大道），利用东环与S303，与S303共线后接G204至盐城</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石根美</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交通局</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徐文新</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即G343大丰东段，盐城市局对我区提出的线路走向给予支持，多次赴省厅和省公路局对接，争取尽快获得省厅审查意见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40" w:hRule="atLeast"/>
        </w:trPr>
        <w:tc>
          <w:tcPr>
            <w:tcW w:w="6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21</w:t>
            </w:r>
          </w:p>
        </w:tc>
        <w:tc>
          <w:tcPr>
            <w:tcW w:w="17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土地规划调整和商用土地指标</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沪苏集聚区2平方公里范围内建设用地指标的争取；沪苏集聚区12平方公里范围内通港大道北侧基本农田调整</w:t>
            </w:r>
          </w:p>
        </w:tc>
        <w:tc>
          <w:tcPr>
            <w:tcW w:w="12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郭  超</w:t>
            </w:r>
          </w:p>
        </w:tc>
        <w:tc>
          <w:tcPr>
            <w:tcW w:w="14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国土局</w:t>
            </w:r>
          </w:p>
        </w:tc>
        <w:tc>
          <w:tcPr>
            <w:tcW w:w="12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商明星</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建设用地指标：一方面已布局安排了710亩新增建设用地规划空间，另一方面积极向省厅争取，力争通过独立选址方式解决基础设施用地</w:t>
            </w:r>
            <w:r>
              <w:rPr>
                <w:rFonts w:hint="eastAsia" w:ascii="方正仿宋简体" w:hAnsi="方正仿宋简体" w:eastAsia="方正仿宋简体" w:cs="方正仿宋简体"/>
                <w:i w:val="0"/>
                <w:color w:val="000000"/>
                <w:kern w:val="0"/>
                <w:sz w:val="20"/>
                <w:szCs w:val="20"/>
                <w:u w:val="none"/>
                <w:lang w:val="en-US" w:eastAsia="zh-CN" w:bidi="ar"/>
              </w:rPr>
              <w:br w:type="textWrapping"/>
            </w:r>
            <w:r>
              <w:rPr>
                <w:rFonts w:hint="eastAsia" w:ascii="方正仿宋简体" w:hAnsi="方正仿宋简体" w:eastAsia="方正仿宋简体" w:cs="方正仿宋简体"/>
                <w:i w:val="0"/>
                <w:color w:val="000000"/>
                <w:kern w:val="0"/>
                <w:sz w:val="20"/>
                <w:szCs w:val="20"/>
                <w:u w:val="none"/>
                <w:lang w:val="en-US" w:eastAsia="zh-CN" w:bidi="ar"/>
              </w:rPr>
              <w:t xml:space="preserve">    基本农田调整：结合发展实际，经征求园区意见，已调出4.1平方公里，确保至2020年园区发展不受制约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65"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1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负责解决港城300亩商住用地指标，用于挂牌上市</w:t>
            </w: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12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已解决到位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95"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22</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大丰港物流中心</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为大丰港服务业项目多争取国家、省、市服务业引导资金支持，加快和支持大丰港物流中心建设和发展</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赵玉霞</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服务业办</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吴慧露</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2016年为港区粮食仓储三期工程争取投资1650万，为物流中心争取盐城市级服务业引导资金，部分已到帐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2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23</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江苏水头石材交易市场</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大丰区服务业发展引导资金予以支持，加快水头石材交易市场的建设和发展</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赵玉霞</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服务业办</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吴慧露</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因石材市场属工业性质，不符服务业引导资金使用范围，现计划将服务业引导资金拨付港区，不直接拨付到项目，由港区安排用于项目建设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35"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24</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省级电子商务示范基地</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区财政进一步对港区电商平台给予支持，支持敦煌网江苏分中心海外仓和电商平台</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郭  超</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财政局</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卞松岭</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待项目审批后，拨付资金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95"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25</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商务发展基金</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积极向上争取商务发展基金，支持港区经济发展</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赵玉霞</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商务局</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陈良忠</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经请示盐城符合条件的企业可以申报，但由于该基金占用企业信贷指标，只是利率上有部分优惠，企业对此不积极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85"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26</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外贸货物</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组织全区外贸企业多从大丰港进出货物，增加港口货物吞吐量</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赵玉霞</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商务局</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陈良忠</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积极组织区内企业从大丰港出货，同时积极与市商务局以及淮安待地商务部门对接，宣传大丰港优势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6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27</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大丰港综保区（含保税物流中心B型）</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确保保税物流中心（B型）9月份竣工通用验收，负责申报综合保税区，并争取获批</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罗  强</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口岸委</w:t>
            </w:r>
            <w:r>
              <w:rPr>
                <w:rFonts w:hint="eastAsia" w:ascii="方正仿宋简体" w:hAnsi="方正仿宋简体" w:eastAsia="方正仿宋简体" w:cs="方正仿宋简体"/>
                <w:i w:val="0"/>
                <w:color w:val="000000"/>
                <w:kern w:val="0"/>
                <w:sz w:val="20"/>
                <w:szCs w:val="20"/>
                <w:u w:val="none"/>
                <w:lang w:val="en-US" w:eastAsia="zh-CN" w:bidi="ar"/>
              </w:rPr>
              <w:br w:type="textWrapping"/>
            </w:r>
            <w:r>
              <w:rPr>
                <w:rFonts w:hint="eastAsia" w:ascii="方正仿宋简体" w:hAnsi="方正仿宋简体" w:eastAsia="方正仿宋简体" w:cs="方正仿宋简体"/>
                <w:i w:val="0"/>
                <w:color w:val="000000"/>
                <w:kern w:val="0"/>
                <w:sz w:val="20"/>
                <w:szCs w:val="20"/>
                <w:u w:val="none"/>
                <w:lang w:val="en-US" w:eastAsia="zh-CN" w:bidi="ar"/>
              </w:rPr>
              <w:t>海港控股集团</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严如鹏         姜福才</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保税物流中心4月份已通过相关部门验收，待封关运行一段时间后，启动综保区申报工作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95"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28</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大丰港木材进境指定口岸</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负责申报并获批木材进境指定口岸</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罗  强</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口岸委</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严如鹏</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已通过验收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2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29</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大丰港活畜进境指定口岸</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负责申报并力争获批活畜进境指定口岸</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罗  强</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口岸委</w:t>
            </w:r>
            <w:r>
              <w:rPr>
                <w:rFonts w:hint="eastAsia" w:ascii="方正仿宋简体" w:hAnsi="方正仿宋简体" w:eastAsia="方正仿宋简体" w:cs="方正仿宋简体"/>
                <w:i w:val="0"/>
                <w:color w:val="000000"/>
                <w:kern w:val="0"/>
                <w:sz w:val="20"/>
                <w:szCs w:val="20"/>
                <w:u w:val="none"/>
                <w:lang w:val="en-US" w:eastAsia="zh-CN" w:bidi="ar"/>
              </w:rPr>
              <w:br w:type="textWrapping"/>
            </w:r>
            <w:r>
              <w:rPr>
                <w:rFonts w:hint="eastAsia" w:ascii="方正仿宋简体" w:hAnsi="方正仿宋简体" w:eastAsia="方正仿宋简体" w:cs="方正仿宋简体"/>
                <w:i w:val="0"/>
                <w:color w:val="000000"/>
                <w:kern w:val="0"/>
                <w:sz w:val="20"/>
                <w:szCs w:val="20"/>
                <w:u w:val="none"/>
                <w:lang w:val="en-US" w:eastAsia="zh-CN" w:bidi="ar"/>
              </w:rPr>
              <w:t>海港控股集团</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严如鹏</w:t>
            </w:r>
            <w:r>
              <w:rPr>
                <w:rFonts w:hint="eastAsia" w:ascii="方正仿宋简体" w:hAnsi="方正仿宋简体" w:eastAsia="方正仿宋简体" w:cs="方正仿宋简体"/>
                <w:i w:val="0"/>
                <w:color w:val="000000"/>
                <w:kern w:val="0"/>
                <w:sz w:val="20"/>
                <w:szCs w:val="20"/>
                <w:u w:val="none"/>
                <w:lang w:val="en-US" w:eastAsia="zh-CN" w:bidi="ar"/>
              </w:rPr>
              <w:br w:type="textWrapping"/>
            </w:r>
            <w:r>
              <w:rPr>
                <w:rFonts w:hint="eastAsia" w:ascii="方正仿宋简体" w:hAnsi="方正仿宋简体" w:eastAsia="方正仿宋简体" w:cs="方正仿宋简体"/>
                <w:i w:val="0"/>
                <w:color w:val="000000"/>
                <w:kern w:val="0"/>
                <w:sz w:val="20"/>
                <w:szCs w:val="20"/>
                <w:u w:val="none"/>
                <w:lang w:val="en-US" w:eastAsia="zh-CN" w:bidi="ar"/>
              </w:rPr>
              <w:t>王瑜生</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相关基础条件已具备，正在向国家质检总局申报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7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30</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大丰港汽车整车进口口岸</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负责申报汽车整车进口口岸，并争取获批</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韦应生</w:t>
            </w:r>
            <w:r>
              <w:rPr>
                <w:rFonts w:hint="eastAsia" w:ascii="方正仿宋简体" w:hAnsi="方正仿宋简体" w:eastAsia="方正仿宋简体" w:cs="方正仿宋简体"/>
                <w:i w:val="0"/>
                <w:color w:val="000000"/>
                <w:kern w:val="0"/>
                <w:sz w:val="20"/>
                <w:szCs w:val="20"/>
                <w:u w:val="none"/>
                <w:lang w:val="en-US" w:eastAsia="zh-CN" w:bidi="ar"/>
              </w:rPr>
              <w:br w:type="textWrapping"/>
            </w:r>
            <w:r>
              <w:rPr>
                <w:rFonts w:hint="eastAsia" w:ascii="方正仿宋简体" w:hAnsi="方正仿宋简体" w:eastAsia="方正仿宋简体" w:cs="方正仿宋简体"/>
                <w:i w:val="0"/>
                <w:color w:val="000000"/>
                <w:kern w:val="0"/>
                <w:sz w:val="20"/>
                <w:szCs w:val="20"/>
                <w:u w:val="none"/>
                <w:lang w:val="en-US" w:eastAsia="zh-CN" w:bidi="ar"/>
              </w:rPr>
              <w:t>郭  超</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口岸委</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严如鹏</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海关总署布局原则上一省一家，江苏已有张家港，大丰港申报难度较大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31</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日月湖省级旅游度假区</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指导、配合申报日月湖省级旅游度假区，并获批</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袁国萍</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旅游局</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陶 耸</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盐城已同意，目前正在对接盐城批复及请示相关材料，待盐城批复后，向省局申报。根据省局意见，一个县（市、区）只设一家省级旅游度假区，大丰已有麋鹿旅游度假区，申报难度较大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85"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32</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沪苏集聚区消防监管权属确定</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提请上海市政府和江苏省政府确定沪苏集聚区消防监管主体</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沈  阳</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公安局</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张建忠</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已落实到位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3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33</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沪苏集聚区扬帆输变电工程</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争取供电部门同意在沪苏集聚区建设110KV输变电工程</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董  毅</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供电公司</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金  海</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工程已确定，正在办理征地手续，园区与农场正在对接之中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70" w:hRule="atLeast"/>
        </w:trPr>
        <w:tc>
          <w:tcPr>
            <w:tcW w:w="6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34</w:t>
            </w:r>
          </w:p>
        </w:tc>
        <w:tc>
          <w:tcPr>
            <w:tcW w:w="17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沪苏集聚区热电联产项目</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争取省能源局启动热电规划修编，同意在沪苏集聚区设立热源点</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郭  超</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发改委</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陆  斌</w:t>
            </w:r>
          </w:p>
        </w:tc>
        <w:tc>
          <w:tcPr>
            <w:tcW w:w="48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正在积极争取，因园区供热负荷不足，同时受博汇丰源热电一期项目遗留问题影响，推进较为困难，正在进一步对接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70"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1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项目立项审批</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郭  超</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发改委</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陆  斌</w:t>
            </w:r>
          </w:p>
        </w:tc>
        <w:tc>
          <w:tcPr>
            <w:tcW w:w="4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方正仿宋简体" w:hAnsi="方正仿宋简体" w:eastAsia="方正仿宋简体" w:cs="方正仿宋简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95"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1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简体" w:hAnsi="方正仿宋简体" w:eastAsia="方正仿宋简体" w:cs="方正仿宋简体"/>
                <w:i w:val="0"/>
                <w:color w:val="000000"/>
                <w:sz w:val="20"/>
                <w:szCs w:val="20"/>
                <w:u w:val="none"/>
              </w:rPr>
            </w:pP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兴化老圩至港区管道施工协调</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石根美</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住建局</w:t>
            </w:r>
            <w:r>
              <w:rPr>
                <w:rFonts w:hint="eastAsia" w:ascii="方正仿宋简体" w:hAnsi="方正仿宋简体" w:eastAsia="方正仿宋简体" w:cs="方正仿宋简体"/>
                <w:i w:val="0"/>
                <w:color w:val="000000"/>
                <w:kern w:val="0"/>
                <w:sz w:val="20"/>
                <w:szCs w:val="20"/>
                <w:u w:val="none"/>
                <w:lang w:val="en-US" w:eastAsia="zh-CN" w:bidi="ar"/>
              </w:rPr>
              <w:br w:type="textWrapping"/>
            </w:r>
            <w:r>
              <w:rPr>
                <w:rFonts w:hint="eastAsia" w:ascii="方正仿宋简体" w:hAnsi="方正仿宋简体" w:eastAsia="方正仿宋简体" w:cs="方正仿宋简体"/>
                <w:i w:val="0"/>
                <w:color w:val="000000"/>
                <w:kern w:val="0"/>
                <w:sz w:val="20"/>
                <w:szCs w:val="20"/>
                <w:u w:val="none"/>
                <w:lang w:val="en-US" w:eastAsia="zh-CN" w:bidi="ar"/>
              </w:rPr>
              <w:t>沿线各相关</w:t>
            </w:r>
            <w:r>
              <w:rPr>
                <w:rFonts w:hint="eastAsia" w:ascii="方正仿宋简体" w:hAnsi="方正仿宋简体" w:eastAsia="方正仿宋简体" w:cs="方正仿宋简体"/>
                <w:i w:val="0"/>
                <w:color w:val="000000"/>
                <w:kern w:val="0"/>
                <w:sz w:val="20"/>
                <w:szCs w:val="20"/>
                <w:u w:val="none"/>
                <w:lang w:val="en-US" w:eastAsia="zh-CN" w:bidi="ar"/>
              </w:rPr>
              <w:br w:type="textWrapping"/>
            </w:r>
            <w:r>
              <w:rPr>
                <w:rFonts w:hint="eastAsia" w:ascii="方正仿宋简体" w:hAnsi="方正仿宋简体" w:eastAsia="方正仿宋简体" w:cs="方正仿宋简体"/>
                <w:i w:val="0"/>
                <w:color w:val="000000"/>
                <w:kern w:val="0"/>
                <w:sz w:val="20"/>
                <w:szCs w:val="20"/>
                <w:u w:val="none"/>
                <w:lang w:val="en-US" w:eastAsia="zh-CN" w:bidi="ar"/>
              </w:rPr>
              <w:t>镇政府</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顾国华</w:t>
            </w:r>
            <w:r>
              <w:rPr>
                <w:rFonts w:hint="eastAsia" w:ascii="方正仿宋简体" w:hAnsi="方正仿宋简体" w:eastAsia="方正仿宋简体" w:cs="方正仿宋简体"/>
                <w:i w:val="0"/>
                <w:color w:val="000000"/>
                <w:kern w:val="0"/>
                <w:sz w:val="20"/>
                <w:szCs w:val="20"/>
                <w:u w:val="none"/>
                <w:lang w:val="en-US" w:eastAsia="zh-CN" w:bidi="ar"/>
              </w:rPr>
              <w:br w:type="textWrapping"/>
            </w:r>
            <w:r>
              <w:rPr>
                <w:rFonts w:hint="eastAsia" w:ascii="方正仿宋简体" w:hAnsi="方正仿宋简体" w:eastAsia="方正仿宋简体" w:cs="方正仿宋简体"/>
                <w:i w:val="0"/>
                <w:color w:val="000000"/>
                <w:kern w:val="0"/>
                <w:sz w:val="20"/>
                <w:szCs w:val="20"/>
                <w:u w:val="none"/>
                <w:lang w:val="en-US" w:eastAsia="zh-CN" w:bidi="ar"/>
              </w:rPr>
              <w:t>沿线各相关镇政府负责人</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项目选址已重新确定在盐都南，待确定好投资主体和参股比例后，全面推进相关工作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4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35</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沪苏集聚区争取省相关资金支持政策</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积极向省政府、省沿海办和相关部门汇报对接，争取纳入省南北共建园区管理范畴，并争取省跨区域合作以奖代补资金扶持政策</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郭  超</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发改委</w:t>
            </w:r>
            <w:r>
              <w:rPr>
                <w:rFonts w:hint="eastAsia" w:ascii="方正仿宋简体" w:hAnsi="方正仿宋简体" w:eastAsia="方正仿宋简体" w:cs="方正仿宋简体"/>
                <w:i w:val="0"/>
                <w:color w:val="000000"/>
                <w:kern w:val="0"/>
                <w:sz w:val="20"/>
                <w:szCs w:val="20"/>
                <w:u w:val="none"/>
                <w:lang w:val="en-US" w:eastAsia="zh-CN" w:bidi="ar"/>
              </w:rPr>
              <w:br w:type="textWrapping"/>
            </w:r>
            <w:r>
              <w:rPr>
                <w:rFonts w:hint="eastAsia" w:ascii="方正仿宋简体" w:hAnsi="方正仿宋简体" w:eastAsia="方正仿宋简体" w:cs="方正仿宋简体"/>
                <w:i w:val="0"/>
                <w:color w:val="000000"/>
                <w:kern w:val="0"/>
                <w:sz w:val="20"/>
                <w:szCs w:val="20"/>
                <w:u w:val="none"/>
                <w:lang w:val="en-US" w:eastAsia="zh-CN" w:bidi="ar"/>
              </w:rPr>
              <w:t>财政局</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陆  斌</w:t>
            </w:r>
            <w:r>
              <w:rPr>
                <w:rFonts w:hint="eastAsia" w:ascii="方正仿宋简体" w:hAnsi="方正仿宋简体" w:eastAsia="方正仿宋简体" w:cs="方正仿宋简体"/>
                <w:i w:val="0"/>
                <w:color w:val="000000"/>
                <w:kern w:val="0"/>
                <w:sz w:val="20"/>
                <w:szCs w:val="20"/>
                <w:u w:val="none"/>
                <w:lang w:val="en-US" w:eastAsia="zh-CN" w:bidi="ar"/>
              </w:rPr>
              <w:br w:type="textWrapping"/>
            </w:r>
            <w:r>
              <w:rPr>
                <w:rFonts w:hint="eastAsia" w:ascii="方正仿宋简体" w:hAnsi="方正仿宋简体" w:eastAsia="方正仿宋简体" w:cs="方正仿宋简体"/>
                <w:i w:val="0"/>
                <w:color w:val="000000"/>
                <w:kern w:val="0"/>
                <w:sz w:val="20"/>
                <w:szCs w:val="20"/>
                <w:u w:val="none"/>
                <w:lang w:val="en-US" w:eastAsia="zh-CN" w:bidi="ar"/>
              </w:rPr>
              <w:t>卞松岭</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已与省发改委和财政厅对接，省苏北办积极支持，省财政厅认为每个县（市、区）只奖补一个共建园区，目前，正在继续跟踪之中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3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36</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沪苏集聚区产业转移合作共建园区试点单位</w:t>
            </w:r>
          </w:p>
        </w:tc>
        <w:tc>
          <w:tcPr>
            <w:tcW w:w="4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向国家工信部争取将沪苏集聚区评定为产业转移合作共建园区试点单位</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董  毅</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经信委</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程  维</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color w:val="000000"/>
                <w:sz w:val="20"/>
                <w:szCs w:val="20"/>
                <w:u w:val="none"/>
              </w:rPr>
            </w:pPr>
            <w:r>
              <w:rPr>
                <w:rFonts w:hint="eastAsia" w:ascii="方正仿宋简体" w:hAnsi="方正仿宋简体" w:eastAsia="方正仿宋简体" w:cs="方正仿宋简体"/>
                <w:i w:val="0"/>
                <w:color w:val="000000"/>
                <w:kern w:val="0"/>
                <w:sz w:val="20"/>
                <w:szCs w:val="20"/>
                <w:u w:val="none"/>
                <w:lang w:val="en-US" w:eastAsia="zh-CN" w:bidi="ar"/>
              </w:rPr>
              <w:t xml:space="preserve">  工信部认为产业转移不具普遍性，将取消此类项目申报，由国家新型工业化产业示范基地代替</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方正仿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B51173"/>
    <w:rsid w:val="0DB511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2017-06-13T03:51:00Z</dcterms:created>
  <dc:creator>Administrator</dc:creator>
  <cp:lastModifiedBy>Administrator</cp:lastModifiedBy>
  <dcterms:modified xsi:type="dcterms:W3CDTF">2017-06-13T03:52:06Z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